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7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7638"/>
      </w:tblGrid>
      <w:tr w:rsidR="00382820" w:rsidRPr="00382820" w:rsidTr="000C4C56">
        <w:trPr>
          <w:trHeight w:val="1373"/>
        </w:trPr>
        <w:tc>
          <w:tcPr>
            <w:tcW w:w="935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82820" w:rsidRPr="00382820" w:rsidRDefault="00382820" w:rsidP="00382820">
            <w:r w:rsidRPr="00382820">
              <w:rPr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 wp14:anchorId="1C9F402D" wp14:editId="246DB220">
                  <wp:simplePos x="0" y="0"/>
                  <wp:positionH relativeFrom="column">
                    <wp:posOffset>1170305</wp:posOffset>
                  </wp:positionH>
                  <wp:positionV relativeFrom="paragraph">
                    <wp:posOffset>-36195</wp:posOffset>
                  </wp:positionV>
                  <wp:extent cx="3646170" cy="818515"/>
                  <wp:effectExtent l="0" t="0" r="0" b="635"/>
                  <wp:wrapNone/>
                  <wp:docPr id="3073" name="Picture 1" descr="C:\Users\nikobalt\Desktop\Ε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Picture 1" descr="C:\Users\nikobalt\Desktop\Ε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6170" cy="81851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82820" w:rsidRPr="00382820" w:rsidTr="00AE5E45">
        <w:trPr>
          <w:trHeight w:val="683"/>
        </w:trPr>
        <w:tc>
          <w:tcPr>
            <w:tcW w:w="17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82820" w:rsidRPr="00382820" w:rsidRDefault="00382820" w:rsidP="00382820">
            <w:r w:rsidRPr="00382820">
              <w:rPr>
                <w:b/>
                <w:bCs/>
              </w:rPr>
              <w:t>Τίτλος</w:t>
            </w:r>
          </w:p>
        </w:tc>
        <w:tc>
          <w:tcPr>
            <w:tcW w:w="76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82820" w:rsidRPr="004E2664" w:rsidRDefault="00AE5E45" w:rsidP="00AE5E45">
            <w:pPr>
              <w:keepLines/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spacing w:after="12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</w:t>
            </w:r>
            <w:r w:rsidRPr="00AE5E45">
              <w:t xml:space="preserve">ΑΤΑΣΚΕΥΗ ΔΙΚΤΥΩΝ ΑΠΟΧΕΤΕΥΣΗΣ  ΑΚΑΘΑΡΤΩΝ Δ.Κ. ΝΕΟΧΩΡΟΠΟΥΛΟΥ και ΣΤΑΥΡΑΚΙΟΥ ΤΟΥ ΔΗΜΟΥ ΙΩΑΝΝΙΤΩΝ </w:t>
            </w:r>
            <w:r w:rsidR="004E2664" w:rsidRPr="004E2664">
              <w:t xml:space="preserve"> (</w:t>
            </w:r>
            <w:r w:rsidR="004E2664">
              <w:rPr>
                <w:lang w:val="en-US"/>
              </w:rPr>
              <w:t>MIS</w:t>
            </w:r>
            <w:r w:rsidR="004E2664" w:rsidRPr="004E2664">
              <w:t xml:space="preserve">: </w:t>
            </w:r>
            <w:r w:rsidR="004E2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5034830</w:t>
            </w:r>
            <w:r w:rsidR="004E2664" w:rsidRPr="004E2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82820" w:rsidRPr="00382820" w:rsidTr="00AE5E45">
        <w:trPr>
          <w:trHeight w:val="509"/>
        </w:trPr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82820" w:rsidRPr="00382820" w:rsidRDefault="00382820" w:rsidP="00382820">
            <w:r w:rsidRPr="00382820">
              <w:rPr>
                <w:b/>
                <w:bCs/>
              </w:rPr>
              <w:t>Φορέας Υλοποίησης</w:t>
            </w:r>
          </w:p>
        </w:tc>
        <w:tc>
          <w:tcPr>
            <w:tcW w:w="7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82820" w:rsidRPr="00382820" w:rsidRDefault="00AE5E45" w:rsidP="00382820">
            <w:r>
              <w:t>Δημοτική Επιχείρηση Ύδρευσης Αποχέτευσης Ιωαννίνων (ΔΕΥΑΙ)</w:t>
            </w:r>
          </w:p>
        </w:tc>
      </w:tr>
      <w:tr w:rsidR="00382820" w:rsidRPr="00382820" w:rsidTr="00AE5E45">
        <w:trPr>
          <w:trHeight w:val="493"/>
        </w:trPr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82820" w:rsidRPr="00382820" w:rsidRDefault="00382820" w:rsidP="00382820">
            <w:r w:rsidRPr="00382820">
              <w:rPr>
                <w:b/>
                <w:bCs/>
              </w:rPr>
              <w:t>Προϋπολογισμός</w:t>
            </w:r>
          </w:p>
        </w:tc>
        <w:tc>
          <w:tcPr>
            <w:tcW w:w="7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82820" w:rsidRPr="00382820" w:rsidRDefault="00AE5E45" w:rsidP="004E2664">
            <w:pPr>
              <w:spacing w:after="0" w:line="240" w:lineRule="auto"/>
              <w:jc w:val="both"/>
            </w:pPr>
            <w:r>
              <w:t>6.</w:t>
            </w:r>
            <w:r w:rsidR="004E2664">
              <w:rPr>
                <w:lang w:val="en-US"/>
              </w:rPr>
              <w:t>622</w:t>
            </w:r>
            <w:r>
              <w:t>.000,00 ευρώ πλέον ΦΠΑ</w:t>
            </w:r>
          </w:p>
        </w:tc>
      </w:tr>
      <w:tr w:rsidR="00382820" w:rsidRPr="00382820" w:rsidTr="00AE5E45">
        <w:trPr>
          <w:trHeight w:val="526"/>
        </w:trPr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82820" w:rsidRPr="00382820" w:rsidRDefault="00382820" w:rsidP="00382820">
            <w:r w:rsidRPr="00382820">
              <w:rPr>
                <w:b/>
                <w:bCs/>
              </w:rPr>
              <w:t>Διαρθρωτικό Ταμείο</w:t>
            </w:r>
          </w:p>
        </w:tc>
        <w:tc>
          <w:tcPr>
            <w:tcW w:w="7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82820" w:rsidRPr="00382820" w:rsidRDefault="00AE5E45" w:rsidP="00AE5E45">
            <w:pPr>
              <w:spacing w:after="0" w:line="240" w:lineRule="auto"/>
              <w:jc w:val="both"/>
            </w:pPr>
            <w:r w:rsidRPr="00AE5E45">
              <w:t>Ευρωπαϊκό Ταμείο Περιφερειακής Ανάπτυξης _ ΕΤΠΑ</w:t>
            </w:r>
          </w:p>
        </w:tc>
      </w:tr>
      <w:tr w:rsidR="00382820" w:rsidRPr="00382820" w:rsidTr="00AE5E45">
        <w:trPr>
          <w:trHeight w:val="1323"/>
        </w:trPr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82820" w:rsidRPr="00382820" w:rsidRDefault="00382820" w:rsidP="00382820">
            <w:r w:rsidRPr="00382820">
              <w:rPr>
                <w:b/>
                <w:bCs/>
              </w:rPr>
              <w:t>Περιγραφή</w:t>
            </w:r>
          </w:p>
        </w:tc>
        <w:tc>
          <w:tcPr>
            <w:tcW w:w="7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5060B" w:rsidRDefault="001D76F5" w:rsidP="001D76F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Η πράξη </w:t>
            </w:r>
            <w:r w:rsidR="0065060B">
              <w:t xml:space="preserve">περιλαμβάνει δύο </w:t>
            </w:r>
            <w:proofErr w:type="spellStart"/>
            <w:r w:rsidR="0065060B">
              <w:t>υποέργα</w:t>
            </w:r>
            <w:proofErr w:type="spellEnd"/>
            <w:r w:rsidR="0065060B">
              <w:t>:</w:t>
            </w:r>
            <w:r>
              <w:t xml:space="preserve"> </w:t>
            </w:r>
          </w:p>
          <w:p w:rsidR="0065060B" w:rsidRDefault="004E6FE0" w:rsidP="0065060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9" w:hanging="199"/>
              <w:jc w:val="both"/>
            </w:pPr>
            <w:r w:rsidRPr="004E6FE0">
              <w:t xml:space="preserve">Το </w:t>
            </w:r>
            <w:proofErr w:type="spellStart"/>
            <w:r w:rsidR="001D76F5">
              <w:t>υπο</w:t>
            </w:r>
            <w:r w:rsidRPr="004E6FE0">
              <w:t>έργο</w:t>
            </w:r>
            <w:proofErr w:type="spellEnd"/>
            <w:r w:rsidRPr="004E6FE0">
              <w:t xml:space="preserve"> </w:t>
            </w:r>
            <w:r w:rsidR="001D76F5">
              <w:t>1</w:t>
            </w:r>
            <w:r w:rsidR="0065060B">
              <w:t xml:space="preserve">, (κύριο </w:t>
            </w:r>
            <w:proofErr w:type="spellStart"/>
            <w:r w:rsidR="0065060B">
              <w:t>υποέργο</w:t>
            </w:r>
            <w:proofErr w:type="spellEnd"/>
            <w:r w:rsidR="0065060B">
              <w:t>)</w:t>
            </w:r>
            <w:r w:rsidR="001D76F5">
              <w:t xml:space="preserve"> κατασκευάζονται </w:t>
            </w:r>
            <w:r w:rsidRPr="004E6FE0">
              <w:t>ολοκληρωμέν</w:t>
            </w:r>
            <w:r w:rsidR="001D76F5">
              <w:t>α</w:t>
            </w:r>
            <w:r w:rsidRPr="004E6FE0">
              <w:t xml:space="preserve"> δ</w:t>
            </w:r>
            <w:r w:rsidR="001D76F5">
              <w:t xml:space="preserve">ίκτυα </w:t>
            </w:r>
            <w:r w:rsidRPr="004E6FE0">
              <w:t xml:space="preserve">συλλογής και μεταφοράς ακαθάρτων, στους οικισμούς </w:t>
            </w:r>
            <w:proofErr w:type="spellStart"/>
            <w:r w:rsidRPr="004E6FE0">
              <w:t>Νεοχωρόπουλο</w:t>
            </w:r>
            <w:proofErr w:type="spellEnd"/>
            <w:r w:rsidRPr="004E6FE0">
              <w:t xml:space="preserve"> και Σταυράκι (οικισμοί εντός λεκάνης του ρέματος </w:t>
            </w:r>
            <w:proofErr w:type="spellStart"/>
            <w:r w:rsidRPr="004E6FE0">
              <w:t>Λαγκάτσι</w:t>
            </w:r>
            <w:proofErr w:type="spellEnd"/>
            <w:r w:rsidRPr="004E6FE0">
              <w:t xml:space="preserve"> που καταλήγει στην λίμνη Παμβώτιδα). Προβλέπεται </w:t>
            </w:r>
            <w:r w:rsidR="0065060B">
              <w:t xml:space="preserve">επίσης </w:t>
            </w:r>
            <w:r w:rsidRPr="004E6FE0">
              <w:t xml:space="preserve">η κατασκευή </w:t>
            </w:r>
            <w:proofErr w:type="spellStart"/>
            <w:r w:rsidRPr="004E6FE0">
              <w:t>βαρυτικών</w:t>
            </w:r>
            <w:proofErr w:type="spellEnd"/>
            <w:r w:rsidRPr="004E6FE0">
              <w:t xml:space="preserve"> αγωγών μεταφοράς συνολικού μήκους 21,5 </w:t>
            </w:r>
            <w:proofErr w:type="spellStart"/>
            <w:r w:rsidRPr="004E6FE0">
              <w:t>Km</w:t>
            </w:r>
            <w:proofErr w:type="spellEnd"/>
            <w:r w:rsidRPr="004E6FE0">
              <w:t xml:space="preserve">, </w:t>
            </w:r>
            <w:r w:rsidR="0065060B">
              <w:t xml:space="preserve">καταθλιπτικών αγωγών </w:t>
            </w:r>
            <w:r w:rsidRPr="004E6FE0">
              <w:t xml:space="preserve">2,35 </w:t>
            </w:r>
            <w:proofErr w:type="spellStart"/>
            <w:r w:rsidRPr="004E6FE0">
              <w:t>Km</w:t>
            </w:r>
            <w:proofErr w:type="spellEnd"/>
            <w:r w:rsidRPr="004E6FE0">
              <w:t xml:space="preserve"> και 2 αντλιοστασίων ακαθάρτων (Α/Σ Β3: Κάτω Μάρμαρα και Α/Σ Β4: </w:t>
            </w:r>
            <w:proofErr w:type="spellStart"/>
            <w:r w:rsidRPr="004E6FE0">
              <w:t>Νεοχωρόπουλο</w:t>
            </w:r>
            <w:proofErr w:type="spellEnd"/>
            <w:r w:rsidRPr="004E6FE0">
              <w:t xml:space="preserve">), μέσω των οποίων το δίκτυο της εν λόγω πράξης θα ενσωματωθεί στο αποχετευτικό δίκτυο της ευρύτερης περιοχής (Κάτω Μάρμαρα, </w:t>
            </w:r>
            <w:proofErr w:type="spellStart"/>
            <w:r w:rsidRPr="004E6FE0">
              <w:t>Τσιφλικόπουλο</w:t>
            </w:r>
            <w:proofErr w:type="spellEnd"/>
            <w:r w:rsidRPr="004E6FE0">
              <w:t xml:space="preserve">, </w:t>
            </w:r>
            <w:proofErr w:type="spellStart"/>
            <w:r w:rsidRPr="004E6FE0">
              <w:t>κλπ</w:t>
            </w:r>
            <w:proofErr w:type="spellEnd"/>
            <w:r w:rsidRPr="004E6FE0">
              <w:t>). Τελικός αποδέκτης των λυμάτων είναι η υφιστάμενη ΕΕΛ Ιωαννίνων, η οποία επεκτείνεται κατάλληλα για την κάλυψη των πρόσθετων αναγκών, μέσω της πράξης με MIS 5007720 που χρηματοδοτείται από το ΥΜΕΠΕΡΑΑ 2014-2020.</w:t>
            </w:r>
            <w:r w:rsidR="001D76F5">
              <w:t xml:space="preserve"> </w:t>
            </w:r>
            <w:r w:rsidRPr="004E6FE0">
              <w:t>Στο αντικείμενο του έργου περιλαμβάνεται κ</w:t>
            </w:r>
            <w:bookmarkStart w:id="0" w:name="_GoBack"/>
            <w:bookmarkEnd w:id="0"/>
            <w:r w:rsidRPr="004E6FE0">
              <w:t>αι η κατασκευή των απαιτούμενων ιδιωτικών συνδέσ</w:t>
            </w:r>
            <w:r w:rsidR="001D76F5">
              <w:t>εων</w:t>
            </w:r>
            <w:r w:rsidR="0065060B">
              <w:t>.</w:t>
            </w:r>
          </w:p>
          <w:p w:rsidR="00382820" w:rsidRDefault="0065060B" w:rsidP="0065060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99" w:hanging="199"/>
              <w:jc w:val="both"/>
            </w:pPr>
            <w:r>
              <w:t>Τ</w:t>
            </w:r>
            <w:r w:rsidR="001D76F5">
              <w:t xml:space="preserve">ο </w:t>
            </w:r>
            <w:proofErr w:type="spellStart"/>
            <w:r w:rsidR="001D76F5">
              <w:t>υποέργο</w:t>
            </w:r>
            <w:proofErr w:type="spellEnd"/>
            <w:r w:rsidR="001D76F5">
              <w:t xml:space="preserve"> 2 αφορά στην χρηματοδότηση των απαιτούμενων εργασιών &amp; ερευνών αρχαιολογικής παρακολούθησης.</w:t>
            </w:r>
          </w:p>
          <w:p w:rsidR="002E6AEB" w:rsidRPr="00382820" w:rsidRDefault="002E6AEB" w:rsidP="001D76F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82820" w:rsidRPr="00382820" w:rsidTr="00AE5E45">
        <w:trPr>
          <w:trHeight w:val="740"/>
        </w:trPr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82820" w:rsidRPr="00382820" w:rsidRDefault="00382820" w:rsidP="00382820">
            <w:r w:rsidRPr="00382820">
              <w:rPr>
                <w:b/>
                <w:bCs/>
              </w:rPr>
              <w:t>Στόχοι</w:t>
            </w:r>
          </w:p>
        </w:tc>
        <w:tc>
          <w:tcPr>
            <w:tcW w:w="7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E6FE0" w:rsidRDefault="004E6FE0" w:rsidP="000C4C56">
            <w:pPr>
              <w:spacing w:after="0" w:line="240" w:lineRule="auto"/>
              <w:jc w:val="both"/>
            </w:pPr>
            <w:r w:rsidRPr="004E6FE0">
              <w:t>Η προτεινόμενη πράξη αφορά την κατασκευή των απαιτούμενων υποδομών αποχέτευσης ακαθάρτων σε οικισμούς Γ' προτεραιότητας του Δήμου Ιωαννιτών οι οποίοι επηρεάζουν τον ήδη επιβαρυμένο αποδέκτη της Λίμνης Παμβώτιδας, αποδέκτη του οποίου η κατάσταση χαρακτηρίζεται κακή στη μελέτη της 1ης αναθεώρησης του Σχεδίου Λεκανών Απορροής του υδατικού διαμερίσματος ΗΠΕΙΡΟΣ. Αποτελεί λοιπόν απαιτούμενο μέτρο για την εφαρμ</w:t>
            </w:r>
            <w:r w:rsidR="000C4C56">
              <w:t xml:space="preserve">ογή του ανωτέρω ΣΛΑΠ που έχει στόχο την </w:t>
            </w:r>
            <w:r>
              <w:t>ολο</w:t>
            </w:r>
            <w:r w:rsidRPr="004E6FE0">
              <w:t>κλήρωση των αναγκαίων έργων διαχείρισης λυμάτων για την πλήρη συμμόρφωση με τα προβλεπόμενα στην Οδηγία 91/271/ΕΟΚ για οικισμούς Γ' προτεραιότητας.</w:t>
            </w:r>
          </w:p>
          <w:p w:rsidR="002E6AEB" w:rsidRPr="004E6FE0" w:rsidRDefault="002E6AEB" w:rsidP="000C4C56">
            <w:pPr>
              <w:spacing w:after="0" w:line="240" w:lineRule="auto"/>
              <w:jc w:val="both"/>
            </w:pPr>
          </w:p>
        </w:tc>
      </w:tr>
      <w:tr w:rsidR="00382820" w:rsidRPr="00382820" w:rsidTr="00AE5E45">
        <w:trPr>
          <w:trHeight w:val="587"/>
        </w:trPr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82820" w:rsidRPr="00382820" w:rsidRDefault="00382820" w:rsidP="00382820">
            <w:r w:rsidRPr="00382820">
              <w:rPr>
                <w:b/>
                <w:bCs/>
              </w:rPr>
              <w:t>Αποτελέσματα</w:t>
            </w:r>
          </w:p>
        </w:tc>
        <w:tc>
          <w:tcPr>
            <w:tcW w:w="7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82820" w:rsidRDefault="004E6FE0" w:rsidP="004E6FE0">
            <w:pPr>
              <w:spacing w:after="0" w:line="240" w:lineRule="auto"/>
              <w:jc w:val="both"/>
            </w:pPr>
            <w:r w:rsidRPr="004E6FE0">
              <w:t xml:space="preserve">Ολοκληρωμένο αποχετευτικό δίκτυο συλλογής και μεταφοράς αστικών λυμάτων στους οικισμούς </w:t>
            </w:r>
            <w:proofErr w:type="spellStart"/>
            <w:r w:rsidRPr="004E6FE0">
              <w:t>Νεοχωρόπουλου</w:t>
            </w:r>
            <w:proofErr w:type="spellEnd"/>
            <w:r w:rsidRPr="004E6FE0">
              <w:t xml:space="preserve"> και </w:t>
            </w:r>
            <w:proofErr w:type="spellStart"/>
            <w:r w:rsidRPr="004E6FE0">
              <w:t>Σταυρακίου</w:t>
            </w:r>
            <w:proofErr w:type="spellEnd"/>
            <w:r w:rsidRPr="004E6FE0">
              <w:t xml:space="preserve">, που περιλαμβάνει 21,5 </w:t>
            </w:r>
            <w:proofErr w:type="spellStart"/>
            <w:r w:rsidRPr="004E6FE0">
              <w:t>Κm</w:t>
            </w:r>
            <w:proofErr w:type="spellEnd"/>
            <w:r w:rsidRPr="004E6FE0">
              <w:t xml:space="preserve">  </w:t>
            </w:r>
            <w:proofErr w:type="spellStart"/>
            <w:r w:rsidRPr="004E6FE0">
              <w:t>βαρυτικών</w:t>
            </w:r>
            <w:proofErr w:type="spellEnd"/>
            <w:r w:rsidRPr="004E6FE0">
              <w:t xml:space="preserve"> αγωγών, 2,35 </w:t>
            </w:r>
            <w:proofErr w:type="spellStart"/>
            <w:r w:rsidRPr="004E6FE0">
              <w:t>Κm</w:t>
            </w:r>
            <w:proofErr w:type="spellEnd"/>
            <w:r w:rsidRPr="004E6FE0">
              <w:t xml:space="preserve"> καταθλιπτικών αγωγών και 2 αντλιοστάσια (Α/Σ Β3: Κάτω Μάρμαρα και Α/Σ Β4: </w:t>
            </w:r>
            <w:proofErr w:type="spellStart"/>
            <w:r w:rsidRPr="004E6FE0">
              <w:t>Νεοχωρόπουλο</w:t>
            </w:r>
            <w:proofErr w:type="spellEnd"/>
            <w:r w:rsidRPr="004E6FE0">
              <w:t>).</w:t>
            </w:r>
          </w:p>
          <w:p w:rsidR="002E6AEB" w:rsidRPr="00382820" w:rsidRDefault="002E6AEB" w:rsidP="004E6FE0">
            <w:pPr>
              <w:spacing w:after="0" w:line="240" w:lineRule="auto"/>
              <w:jc w:val="both"/>
            </w:pPr>
          </w:p>
        </w:tc>
      </w:tr>
      <w:tr w:rsidR="00382820" w:rsidRPr="00382820" w:rsidTr="000C4C56">
        <w:trPr>
          <w:trHeight w:val="1392"/>
        </w:trPr>
        <w:tc>
          <w:tcPr>
            <w:tcW w:w="935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82820" w:rsidRPr="00382820" w:rsidRDefault="000C4C56" w:rsidP="00382820">
            <w:r w:rsidRPr="00382820">
              <w:rPr>
                <w:noProof/>
                <w:lang w:eastAsia="el-GR"/>
              </w:rPr>
              <w:drawing>
                <wp:anchor distT="0" distB="0" distL="114300" distR="114300" simplePos="0" relativeHeight="251660288" behindDoc="0" locked="0" layoutInCell="1" allowOverlap="1" wp14:anchorId="43E6AB36" wp14:editId="1F573CCF">
                  <wp:simplePos x="0" y="0"/>
                  <wp:positionH relativeFrom="column">
                    <wp:posOffset>875030</wp:posOffset>
                  </wp:positionH>
                  <wp:positionV relativeFrom="paragraph">
                    <wp:posOffset>24130</wp:posOffset>
                  </wp:positionV>
                  <wp:extent cx="3959225" cy="832485"/>
                  <wp:effectExtent l="19050" t="19050" r="22225" b="24765"/>
                  <wp:wrapNone/>
                  <wp:docPr id="15" name="Picture 6" descr="C:\PROJECTS\NEW PERIOD site\Odigos Dimosiotitas 2014-2020\banner_ed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6" descr="C:\PROJECTS\NEW PERIOD site\Odigos Dimosiotitas 2014-2020\banner_edet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922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2820" w:rsidRPr="00382820">
              <w:rPr>
                <w:b/>
                <w:bCs/>
              </w:rPr>
              <w:t> </w:t>
            </w:r>
          </w:p>
        </w:tc>
      </w:tr>
    </w:tbl>
    <w:p w:rsidR="001342A2" w:rsidRDefault="001342A2" w:rsidP="0065060B"/>
    <w:sectPr w:rsidR="001342A2" w:rsidSect="00AE5E4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97077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108"/>
        </w:tabs>
        <w:ind w:left="1188" w:hanging="284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62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78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94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797832AC"/>
    <w:multiLevelType w:val="hybridMultilevel"/>
    <w:tmpl w:val="D5FA71C8"/>
    <w:lvl w:ilvl="0" w:tplc="CA768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20"/>
    <w:rsid w:val="000C4C56"/>
    <w:rsid w:val="001342A2"/>
    <w:rsid w:val="001D76F5"/>
    <w:rsid w:val="002C1C42"/>
    <w:rsid w:val="002E6AEB"/>
    <w:rsid w:val="0037256F"/>
    <w:rsid w:val="00382820"/>
    <w:rsid w:val="004E2664"/>
    <w:rsid w:val="004E6FE0"/>
    <w:rsid w:val="0065060B"/>
    <w:rsid w:val="006E7E57"/>
    <w:rsid w:val="00AE5E45"/>
    <w:rsid w:val="00B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6753F-8722-4D46-9223-5F48E6D9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2021-10-21T07:43:00Z</dcterms:created>
  <dcterms:modified xsi:type="dcterms:W3CDTF">2021-10-29T08:27:00Z</dcterms:modified>
</cp:coreProperties>
</file>